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bookmarkStart w:id="1" w:name="_GoBack"/>
      <w:bookmarkEnd w:id="1"/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76A8F081" w:rsidR="00D83773" w:rsidRPr="00D83773" w:rsidRDefault="00746EA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PRIMER</w:t>
      </w:r>
      <w:r w:rsidR="00FA06D8">
        <w:rPr>
          <w:rFonts w:ascii="Arial" w:hAnsi="Arial" w:cs="Arial"/>
          <w:b/>
          <w:sz w:val="40"/>
          <w:szCs w:val="40"/>
        </w:rPr>
        <w:t xml:space="preserve"> TRIMESTRE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>
        <w:rPr>
          <w:rFonts w:ascii="Arial" w:hAnsi="Arial" w:cs="Arial"/>
          <w:b/>
          <w:sz w:val="40"/>
          <w:szCs w:val="40"/>
        </w:rPr>
        <w:t>4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459B42E0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746EA5">
        <w:rPr>
          <w:rFonts w:ascii="Arial" w:hAnsi="Arial" w:cs="Arial"/>
          <w:b/>
        </w:rPr>
        <w:t>Enero</w:t>
      </w:r>
      <w:r>
        <w:rPr>
          <w:rFonts w:ascii="Arial" w:hAnsi="Arial" w:cs="Arial"/>
          <w:b/>
        </w:rPr>
        <w:t xml:space="preserve"> – </w:t>
      </w:r>
      <w:r w:rsidR="00746EA5">
        <w:rPr>
          <w:rFonts w:ascii="Arial" w:hAnsi="Arial" w:cs="Arial"/>
          <w:b/>
        </w:rPr>
        <w:t>Marzo 2024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57120065" w14:textId="4C7EFB51" w:rsidR="00580E83" w:rsidRPr="00F97F36" w:rsidRDefault="009F760C" w:rsidP="00580E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Ho</w:t>
      </w:r>
      <w:r w:rsidR="00EF0FC5">
        <w:rPr>
          <w:rFonts w:ascii="Arial" w:hAnsi="Arial" w:cs="Arial"/>
        </w:rPr>
        <w:t>spital</w:t>
      </w:r>
      <w:r>
        <w:rPr>
          <w:rFonts w:ascii="Arial" w:hAnsi="Arial" w:cs="Arial"/>
        </w:rPr>
        <w:t xml:space="preserve"> Dr. Vinicio </w:t>
      </w:r>
      <w:proofErr w:type="spellStart"/>
      <w:r w:rsidR="00886D8B">
        <w:rPr>
          <w:rFonts w:ascii="Arial" w:hAnsi="Arial" w:cs="Arial"/>
        </w:rPr>
        <w:t>Calventi</w:t>
      </w:r>
      <w:proofErr w:type="spellEnd"/>
      <w:r w:rsidR="00FA06D8">
        <w:rPr>
          <w:rFonts w:ascii="Arial" w:hAnsi="Arial" w:cs="Arial"/>
        </w:rPr>
        <w:t xml:space="preserve"> </w:t>
      </w:r>
      <w:r w:rsidR="00580E83" w:rsidRPr="00184B40">
        <w:rPr>
          <w:rFonts w:ascii="Arial" w:hAnsi="Arial" w:cs="Arial"/>
        </w:rPr>
        <w:t>establece</w:t>
      </w:r>
      <w:r w:rsidR="00580E83">
        <w:rPr>
          <w:rFonts w:ascii="Arial" w:hAnsi="Arial" w:cs="Arial"/>
        </w:rPr>
        <w:t xml:space="preserve"> </w:t>
      </w:r>
      <w:r w:rsidR="00580E83" w:rsidRPr="00F97F36">
        <w:rPr>
          <w:rFonts w:ascii="Arial" w:hAnsi="Arial" w:cs="Arial"/>
        </w:rPr>
        <w:t>El Plan Operativ</w:t>
      </w:r>
      <w:r w:rsidR="00580E83">
        <w:rPr>
          <w:rFonts w:ascii="Arial" w:hAnsi="Arial" w:cs="Arial"/>
        </w:rPr>
        <w:t>o Anual como</w:t>
      </w:r>
      <w:r w:rsidR="00580E83" w:rsidRPr="00F97F36">
        <w:rPr>
          <w:rFonts w:ascii="Arial" w:hAnsi="Arial" w:cs="Arial"/>
        </w:rPr>
        <w:t xml:space="preserve"> un 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146632">
        <w:rPr>
          <w:rFonts w:ascii="Arial" w:hAnsi="Arial" w:cs="Arial"/>
        </w:rPr>
        <w:t>vidades programadas para el 2024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71523DE4" w14:textId="371CA326" w:rsidR="009F760C" w:rsidRDefault="00615D7B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Es un </w:t>
      </w:r>
      <w:r w:rsidR="009F760C">
        <w:rPr>
          <w:rFonts w:ascii="Arial" w:hAnsi="Arial" w:cs="Arial"/>
        </w:rPr>
        <w:t xml:space="preserve">documento de suma importancia </w:t>
      </w:r>
      <w:r w:rsidR="00886D8B">
        <w:rPr>
          <w:rFonts w:ascii="Arial" w:hAnsi="Arial" w:cs="Arial"/>
        </w:rPr>
        <w:t xml:space="preserve">por su contenido, </w:t>
      </w:r>
      <w:r w:rsidR="00FA06D8">
        <w:rPr>
          <w:rFonts w:ascii="Arial" w:hAnsi="Arial" w:cs="Arial"/>
        </w:rPr>
        <w:t xml:space="preserve">normas, datos, </w:t>
      </w:r>
      <w:r w:rsidR="00A56A30">
        <w:rPr>
          <w:rFonts w:ascii="Arial" w:hAnsi="Arial" w:cs="Arial"/>
        </w:rPr>
        <w:t>políticas,</w:t>
      </w:r>
      <w:r w:rsidR="00FA06D8">
        <w:rPr>
          <w:rFonts w:ascii="Arial" w:hAnsi="Arial" w:cs="Arial"/>
        </w:rPr>
        <w:t xml:space="preserve"> procedimientos y </w:t>
      </w:r>
      <w:r w:rsidR="00A56A30">
        <w:rPr>
          <w:rFonts w:ascii="Arial" w:hAnsi="Arial" w:cs="Arial"/>
        </w:rPr>
        <w:t>manuales que</w:t>
      </w:r>
      <w:r w:rsidR="007F4CC9">
        <w:rPr>
          <w:rFonts w:ascii="Arial" w:hAnsi="Arial" w:cs="Arial"/>
        </w:rPr>
        <w:t xml:space="preserve"> nos permiten la correcta ejecución de las actividades programadas por el Servicio </w:t>
      </w:r>
      <w:r w:rsidR="007F4CC9" w:rsidRPr="00F97F36">
        <w:rPr>
          <w:rFonts w:ascii="Arial" w:hAnsi="Arial" w:cs="Arial"/>
        </w:rPr>
        <w:t>Nacional de Salud</w:t>
      </w:r>
      <w:r w:rsidR="00DB35CA" w:rsidRPr="00F97F36">
        <w:rPr>
          <w:rFonts w:ascii="Arial" w:hAnsi="Arial" w:cs="Arial"/>
        </w:rPr>
        <w:t>.</w:t>
      </w:r>
    </w:p>
    <w:p w14:paraId="25C82934" w14:textId="5AB040DD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observaciones del desempeño de las 24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284DBB6A" w14:textId="38DB798A" w:rsidR="00DB2F5E" w:rsidRPr="008133FF" w:rsidRDefault="00D00BAE" w:rsidP="00615D7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146632">
        <w:rPr>
          <w:rFonts w:ascii="Arial" w:hAnsi="Arial" w:cs="Arial"/>
          <w:b/>
          <w:sz w:val="24"/>
          <w:szCs w:val="24"/>
        </w:rPr>
        <w:t>primer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146632">
        <w:rPr>
          <w:rFonts w:ascii="Arial" w:hAnsi="Arial" w:cs="Arial"/>
          <w:b/>
          <w:sz w:val="24"/>
          <w:szCs w:val="24"/>
        </w:rPr>
        <w:t>4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072278E3" w14:textId="77777777" w:rsidR="008133FF" w:rsidRPr="00615D7B" w:rsidRDefault="008133FF" w:rsidP="008133FF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62E39EAE" w14:textId="35EEA126" w:rsidR="00B661A2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7A163E">
        <w:rPr>
          <w:rFonts w:ascii="Arial" w:hAnsi="Arial" w:cs="Arial"/>
        </w:rPr>
        <w:t>primer</w:t>
      </w:r>
      <w:r w:rsidR="005636C4">
        <w:rPr>
          <w:rFonts w:ascii="Arial" w:hAnsi="Arial" w:cs="Arial"/>
        </w:rPr>
        <w:t xml:space="preserve"> trimestre</w:t>
      </w:r>
      <w:r w:rsidR="003F6AAB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tiene como propósito dar a conocer los logros y el seguim</w:t>
      </w:r>
      <w:r w:rsidR="007A163E">
        <w:rPr>
          <w:rFonts w:ascii="Arial" w:hAnsi="Arial" w:cs="Arial"/>
        </w:rPr>
        <w:t>iento durante el periodo enero-marzo 2024</w:t>
      </w:r>
      <w:r w:rsidR="009F212E">
        <w:rPr>
          <w:rFonts w:ascii="Arial" w:hAnsi="Arial" w:cs="Arial"/>
        </w:rPr>
        <w:t>.</w:t>
      </w:r>
    </w:p>
    <w:tbl>
      <w:tblPr>
        <w:tblW w:w="6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497"/>
        <w:gridCol w:w="2394"/>
        <w:gridCol w:w="1939"/>
        <w:gridCol w:w="6"/>
      </w:tblGrid>
      <w:tr w:rsidR="00615D7B" w:rsidRPr="00615D7B" w14:paraId="42765E52" w14:textId="77777777" w:rsidTr="00617A21">
        <w:trPr>
          <w:trHeight w:val="345"/>
        </w:trPr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2F75B5"/>
            <w:noWrap/>
            <w:hideMark/>
          </w:tcPr>
          <w:p w14:paraId="6AAB234E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Logro y Seguimiento Plan Operativo Anual POA </w:t>
            </w:r>
          </w:p>
        </w:tc>
      </w:tr>
      <w:tr w:rsidR="00615D7B" w:rsidRPr="00615D7B" w14:paraId="5C74885B" w14:textId="77777777" w:rsidTr="00617A21">
        <w:trPr>
          <w:gridAfter w:val="1"/>
          <w:wAfter w:w="6" w:type="dxa"/>
          <w:trHeight w:val="315"/>
        </w:trPr>
        <w:tc>
          <w:tcPr>
            <w:tcW w:w="4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520D5AB6" w14:textId="64C0465D" w:rsidR="00615D7B" w:rsidRPr="00615D7B" w:rsidRDefault="007A163E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Primer Trimestre 2024</w:t>
            </w:r>
            <w:r w:rsidR="00615D7B" w:rsidRPr="00615D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55DD9AC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615D7B" w:rsidRPr="00615D7B" w14:paraId="107F32EB" w14:textId="77777777" w:rsidTr="00617A21">
        <w:trPr>
          <w:gridAfter w:val="1"/>
          <w:wAfter w:w="6" w:type="dxa"/>
          <w:trHeight w:val="84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9FE1F9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MES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AD0244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programadas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3CF1CC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ejecutadas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150C22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Porcentaje de cumplimiento mensual </w:t>
            </w:r>
          </w:p>
        </w:tc>
      </w:tr>
      <w:tr w:rsidR="00615D7B" w:rsidRPr="00615D7B" w14:paraId="33D09C51" w14:textId="77777777" w:rsidTr="00617A21">
        <w:trPr>
          <w:gridAfter w:val="1"/>
          <w:wAfter w:w="6" w:type="dxa"/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2E8B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E25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00D4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8142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</w:tr>
      <w:tr w:rsidR="00615D7B" w:rsidRPr="00615D7B" w14:paraId="7A37FEB2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302" w14:textId="7BC68D4F" w:rsidR="00615D7B" w:rsidRPr="00615D7B" w:rsidRDefault="007A163E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ENERO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DC9" w14:textId="43585227" w:rsidR="00615D7B" w:rsidRPr="00615D7B" w:rsidRDefault="007A163E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CDBC" w14:textId="7CCA17BB" w:rsidR="00615D7B" w:rsidRPr="00615D7B" w:rsidRDefault="007A163E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9DB5" w14:textId="06D9AB44" w:rsidR="00615D7B" w:rsidRPr="00615D7B" w:rsidRDefault="007A163E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94</w:t>
            </w:r>
            <w:r w:rsidR="00615D7B"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%</w:t>
            </w:r>
          </w:p>
        </w:tc>
      </w:tr>
      <w:tr w:rsidR="00615D7B" w:rsidRPr="00615D7B" w14:paraId="524104FE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99D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4C0E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DC5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962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615D7B" w:rsidRPr="00615D7B" w14:paraId="149E5A76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6FCC" w14:textId="5C81B749" w:rsidR="00615D7B" w:rsidRPr="00615D7B" w:rsidRDefault="007A163E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FEBRERO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B1B0" w14:textId="5062E917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41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8D7" w14:textId="325B54EA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A05" w14:textId="79F2CF4A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89</w:t>
            </w:r>
            <w:r w:rsidR="00615D7B"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%</w:t>
            </w:r>
          </w:p>
        </w:tc>
      </w:tr>
      <w:tr w:rsidR="00615D7B" w:rsidRPr="00615D7B" w14:paraId="2D120109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FC6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ED88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2A4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44F3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615D7B" w:rsidRPr="00615D7B" w14:paraId="3324AA84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792F" w14:textId="41102E64" w:rsidR="00615D7B" w:rsidRPr="00615D7B" w:rsidRDefault="007A163E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MARZO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BB6A" w14:textId="723EA59F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74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C51" w14:textId="58DFAF9E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E2E" w14:textId="47A0840C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93</w:t>
            </w:r>
            <w:r w:rsidR="00615D7B"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%</w:t>
            </w:r>
          </w:p>
        </w:tc>
      </w:tr>
      <w:tr w:rsidR="00615D7B" w:rsidRPr="00615D7B" w14:paraId="5F49A906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F73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7BEB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89A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9ACE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615D7B" w:rsidRPr="00615D7B" w14:paraId="63B24339" w14:textId="77777777" w:rsidTr="00617A21">
        <w:trPr>
          <w:gridAfter w:val="1"/>
          <w:wAfter w:w="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7E6435E" w14:textId="77777777" w:rsidR="00615D7B" w:rsidRPr="00615D7B" w:rsidRDefault="00615D7B" w:rsidP="0061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TOTAL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7B32E1C" w14:textId="350FA852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160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FFCD485" w14:textId="53F901D7" w:rsidR="00615D7B" w:rsidRPr="00615D7B" w:rsidRDefault="00617A2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146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6171BED1" w14:textId="7E21824A" w:rsidR="00615D7B" w:rsidRPr="00615D7B" w:rsidRDefault="00341281" w:rsidP="00615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92</w:t>
            </w:r>
            <w:r w:rsidR="00615D7B" w:rsidRPr="00615D7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%</w:t>
            </w:r>
          </w:p>
        </w:tc>
      </w:tr>
    </w:tbl>
    <w:p w14:paraId="34A1446E" w14:textId="11B2BF7A" w:rsidR="000B6D2E" w:rsidRDefault="000B6D2E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5CB1745F" w14:textId="3B4681FB" w:rsidR="000A4CB6" w:rsidRDefault="00886D8B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B27227">
        <w:rPr>
          <w:rFonts w:ascii="Arial" w:hAnsi="Arial" w:cs="Arial"/>
        </w:rPr>
        <w:t xml:space="preserve">el </w:t>
      </w:r>
      <w:r w:rsidR="00341281">
        <w:rPr>
          <w:rFonts w:ascii="Arial" w:hAnsi="Arial" w:cs="Arial"/>
        </w:rPr>
        <w:t>primer</w:t>
      </w:r>
      <w:r w:rsidR="000B6D2E">
        <w:rPr>
          <w:rFonts w:ascii="Arial" w:hAnsi="Arial" w:cs="Arial"/>
        </w:rPr>
        <w:t xml:space="preserve"> trimestre</w:t>
      </w:r>
      <w:r w:rsidR="00341281">
        <w:rPr>
          <w:rFonts w:ascii="Arial" w:hAnsi="Arial" w:cs="Arial"/>
        </w:rPr>
        <w:t xml:space="preserve"> enero - marzo</w:t>
      </w:r>
      <w:r w:rsidR="00615D7B">
        <w:rPr>
          <w:rFonts w:ascii="Arial" w:hAnsi="Arial" w:cs="Arial"/>
        </w:rPr>
        <w:t xml:space="preserve"> tení</w:t>
      </w:r>
      <w:r w:rsidR="00341281">
        <w:rPr>
          <w:rFonts w:ascii="Arial" w:hAnsi="Arial" w:cs="Arial"/>
        </w:rPr>
        <w:t>amos programadas un total de 160</w:t>
      </w:r>
      <w:r w:rsidR="00615D7B">
        <w:rPr>
          <w:rFonts w:ascii="Arial" w:hAnsi="Arial" w:cs="Arial"/>
        </w:rPr>
        <w:t xml:space="preserve"> actividades de las c</w:t>
      </w:r>
      <w:r w:rsidR="00341281">
        <w:rPr>
          <w:rFonts w:ascii="Arial" w:hAnsi="Arial" w:cs="Arial"/>
        </w:rPr>
        <w:t>uales solo fueron ejecutadas 146 para un cumplimento de un 92</w:t>
      </w:r>
      <w:r w:rsidR="00615D7B">
        <w:rPr>
          <w:rFonts w:ascii="Arial" w:hAnsi="Arial" w:cs="Arial"/>
        </w:rPr>
        <w:t>%</w:t>
      </w:r>
    </w:p>
    <w:p w14:paraId="1AF53EBF" w14:textId="77777777" w:rsidR="00E14391" w:rsidRDefault="00E14391" w:rsidP="000A4CB6">
      <w:pPr>
        <w:jc w:val="both"/>
        <w:rPr>
          <w:rFonts w:ascii="Arial" w:hAnsi="Arial" w:cs="Arial"/>
        </w:rPr>
      </w:pPr>
    </w:p>
    <w:p w14:paraId="7184F063" w14:textId="1406FA7C" w:rsidR="00E14391" w:rsidRDefault="00E14391" w:rsidP="000A4CB6">
      <w:pPr>
        <w:jc w:val="both"/>
        <w:rPr>
          <w:rFonts w:ascii="Arial" w:hAnsi="Arial" w:cs="Arial"/>
        </w:rPr>
      </w:pPr>
    </w:p>
    <w:p w14:paraId="6AC41114" w14:textId="7ED028A5" w:rsidR="00E14391" w:rsidRDefault="00E14391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12B42FDD" wp14:editId="1534E779">
            <wp:extent cx="6095365" cy="363855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5603" cy="369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4C8A" w14:textId="77777777" w:rsidR="00341281" w:rsidRPr="00341281" w:rsidRDefault="00341281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77777777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51349C0F" w14:textId="6BF72B36" w:rsidR="00341281" w:rsidRDefault="000B6D2E" w:rsidP="00F97F36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 xml:space="preserve">Seguir velando por la utilización de los medios de verificación estandarizados para la correcta ejecución de las actividades. </w:t>
      </w:r>
    </w:p>
    <w:p w14:paraId="0441B34D" w14:textId="2E5D242C" w:rsidR="00341281" w:rsidRDefault="00341281" w:rsidP="00F97F36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>Socialización con sus homólogos.</w:t>
      </w:r>
    </w:p>
    <w:p w14:paraId="7599ED36" w14:textId="5A6D04AF" w:rsidR="00341281" w:rsidRDefault="00341281" w:rsidP="00341281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 xml:space="preserve">Estimular la carga y entrega oportuna de evidencias por parte de las áreas responsables. </w:t>
      </w:r>
    </w:p>
    <w:p w14:paraId="2359A563" w14:textId="4AC64950" w:rsidR="00341281" w:rsidRDefault="00341281" w:rsidP="00341281">
      <w:pPr>
        <w:jc w:val="both"/>
        <w:rPr>
          <w:rFonts w:ascii="Arial" w:hAnsi="Arial" w:cs="Arial"/>
          <w:lang w:eastAsia="es-DO"/>
        </w:rPr>
      </w:pPr>
      <w:r w:rsidRPr="00C818B3">
        <w:rPr>
          <w:rFonts w:ascii="Arial" w:hAnsi="Arial" w:cs="Arial"/>
          <w:lang w:eastAsia="es-DO"/>
        </w:rPr>
        <w:t xml:space="preserve">Seguir orientando y monitoreando a las diferentes dependencias y responsables de sus actividades mensuales para una entrega oportuna y con calidad. </w:t>
      </w:r>
    </w:p>
    <w:p w14:paraId="2C488819" w14:textId="224CBB25" w:rsidR="00341281" w:rsidRDefault="00341281" w:rsidP="00F97F36">
      <w:pPr>
        <w:jc w:val="both"/>
        <w:rPr>
          <w:rFonts w:ascii="Arial" w:hAnsi="Arial" w:cs="Arial"/>
          <w:lang w:eastAsia="es-DO"/>
        </w:rPr>
      </w:pPr>
    </w:p>
    <w:p w14:paraId="74B450E8" w14:textId="4490C5A6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00FB4468" w14:textId="427BE7C1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2676A3C5" w14:textId="3075748A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25049FE9" w14:textId="3D7775F3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2AF4CFFC" w14:textId="0CDBAED2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62CE7193" w14:textId="77777777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4126EC79" w:rsidR="00DA69E7" w:rsidRDefault="00895505" w:rsidP="007A5404">
      <w:pPr>
        <w:jc w:val="both"/>
        <w:rPr>
          <w:rFonts w:ascii="Arial" w:hAnsi="Arial" w:cs="Arial"/>
          <w:color w:val="000000"/>
          <w:lang w:eastAsia="es-DO"/>
        </w:rPr>
      </w:pPr>
      <w:r w:rsidRPr="000E76E0">
        <w:rPr>
          <w:rFonts w:ascii="Arial" w:hAnsi="Arial" w:cs="Arial"/>
          <w:color w:val="000000"/>
          <w:lang w:eastAsia="es-DO"/>
        </w:rPr>
        <w:t>Las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F60524">
        <w:rPr>
          <w:rFonts w:ascii="Arial" w:hAnsi="Arial" w:cs="Arial"/>
          <w:color w:val="000000"/>
          <w:lang w:eastAsia="es-DO"/>
        </w:rPr>
        <w:t>trimestre enero- marzo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F60524">
        <w:rPr>
          <w:rFonts w:ascii="Arial" w:hAnsi="Arial" w:cs="Arial"/>
          <w:color w:val="000000"/>
          <w:lang w:eastAsia="es-DO"/>
        </w:rPr>
        <w:t>2024</w:t>
      </w:r>
      <w:r w:rsidRPr="000E76E0">
        <w:rPr>
          <w:rFonts w:ascii="Arial" w:hAnsi="Arial" w:cs="Arial"/>
          <w:color w:val="000000"/>
          <w:lang w:eastAsia="es-DO"/>
        </w:rPr>
        <w:t xml:space="preserve"> </w:t>
      </w:r>
      <w:r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F60524">
        <w:rPr>
          <w:rFonts w:ascii="Arial" w:hAnsi="Arial" w:cs="Arial"/>
          <w:color w:val="000000"/>
          <w:lang w:eastAsia="es-DO"/>
        </w:rPr>
        <w:t>92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D04B54">
        <w:rPr>
          <w:rFonts w:ascii="Arial" w:hAnsi="Arial" w:cs="Arial"/>
          <w:color w:val="000000"/>
          <w:lang w:eastAsia="es-DO"/>
        </w:rPr>
        <w:t>con una efectividad 95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8133FF">
        <w:rPr>
          <w:rFonts w:ascii="Arial" w:hAnsi="Arial" w:cs="Arial"/>
          <w:color w:val="000000"/>
          <w:lang w:eastAsia="es-DO"/>
        </w:rPr>
        <w:t xml:space="preserve"> en relación a la meta. </w:t>
      </w:r>
    </w:p>
    <w:p w14:paraId="6C9DF05E" w14:textId="7500A8A8" w:rsidR="00192173" w:rsidRDefault="00055151" w:rsidP="007A54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Tenemos algunas dificultades con la entrega de las actividades que corresponden a la parte financiera </w:t>
      </w:r>
      <w:r w:rsidR="00F60524">
        <w:rPr>
          <w:rFonts w:ascii="Arial" w:hAnsi="Arial" w:cs="Arial"/>
        </w:rPr>
        <w:t xml:space="preserve">por el atraso que presenta el área de facturación. </w:t>
      </w:r>
      <w:r w:rsidR="00D02786">
        <w:rPr>
          <w:rFonts w:ascii="Arial" w:hAnsi="Arial" w:cs="Arial"/>
        </w:rPr>
        <w:t xml:space="preserve">Lo que dificulta la entrega de las actividades de créditos y cobros y también las de contabilidad. </w:t>
      </w:r>
    </w:p>
    <w:p w14:paraId="69953E5F" w14:textId="0303B67F" w:rsidR="00192173" w:rsidRDefault="00192173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conclusión, nuestro objetivo es seguir mejorando en la realización de los procesos, humanización y calidad de los servicios. Seguir socializando el plan Operativo Anual (</w:t>
      </w:r>
      <w:r w:rsidRPr="007A5404">
        <w:rPr>
          <w:rFonts w:ascii="Arial" w:hAnsi="Arial" w:cs="Arial"/>
          <w:b/>
          <w:bCs/>
          <w:color w:val="000000"/>
          <w:lang w:eastAsia="es-DO"/>
        </w:rPr>
        <w:t>POA</w:t>
      </w:r>
      <w:r>
        <w:rPr>
          <w:rFonts w:ascii="Arial" w:hAnsi="Arial" w:cs="Arial"/>
          <w:b/>
          <w:bCs/>
          <w:color w:val="000000"/>
          <w:lang w:eastAsia="es-DO"/>
        </w:rPr>
        <w:t>)</w:t>
      </w:r>
      <w:r w:rsidR="00F60524">
        <w:rPr>
          <w:rFonts w:ascii="Arial" w:hAnsi="Arial" w:cs="Arial"/>
          <w:color w:val="000000"/>
          <w:lang w:eastAsia="es-DO"/>
        </w:rPr>
        <w:t>.</w:t>
      </w:r>
    </w:p>
    <w:p w14:paraId="407CE84C" w14:textId="77777777" w:rsidR="00F60524" w:rsidRDefault="00F60524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54B3099D" w14:textId="7384C0D8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46E7257D" w14:textId="2C96128A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4E9D6" w14:textId="77777777" w:rsidR="007446D1" w:rsidRDefault="007446D1" w:rsidP="0076102B">
      <w:pPr>
        <w:spacing w:after="0" w:line="240" w:lineRule="auto"/>
      </w:pPr>
      <w:r>
        <w:separator/>
      </w:r>
    </w:p>
  </w:endnote>
  <w:endnote w:type="continuationSeparator" w:id="0">
    <w:p w14:paraId="60AA1443" w14:textId="77777777" w:rsidR="007446D1" w:rsidRDefault="007446D1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5D672" w14:textId="77777777" w:rsidR="007446D1" w:rsidRDefault="007446D1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31DD78C9" w14:textId="77777777" w:rsidR="007446D1" w:rsidRDefault="007446D1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41F2B"/>
    <w:rsid w:val="00055151"/>
    <w:rsid w:val="00056FD6"/>
    <w:rsid w:val="00070057"/>
    <w:rsid w:val="00070704"/>
    <w:rsid w:val="000813CB"/>
    <w:rsid w:val="00095646"/>
    <w:rsid w:val="000A4CB6"/>
    <w:rsid w:val="000B123C"/>
    <w:rsid w:val="000B6D2E"/>
    <w:rsid w:val="000C2849"/>
    <w:rsid w:val="000E76E0"/>
    <w:rsid w:val="0010384D"/>
    <w:rsid w:val="00113DCB"/>
    <w:rsid w:val="00120A0E"/>
    <w:rsid w:val="00126C3E"/>
    <w:rsid w:val="00137408"/>
    <w:rsid w:val="00146632"/>
    <w:rsid w:val="001550BA"/>
    <w:rsid w:val="00161D59"/>
    <w:rsid w:val="0017684F"/>
    <w:rsid w:val="00184B40"/>
    <w:rsid w:val="00192173"/>
    <w:rsid w:val="001A69BB"/>
    <w:rsid w:val="001B6E19"/>
    <w:rsid w:val="001C04A1"/>
    <w:rsid w:val="001C4FE0"/>
    <w:rsid w:val="001E2B2F"/>
    <w:rsid w:val="002057C2"/>
    <w:rsid w:val="0020665B"/>
    <w:rsid w:val="00224407"/>
    <w:rsid w:val="00236852"/>
    <w:rsid w:val="00237186"/>
    <w:rsid w:val="00241AAC"/>
    <w:rsid w:val="002439DB"/>
    <w:rsid w:val="00246052"/>
    <w:rsid w:val="00247DD2"/>
    <w:rsid w:val="00250E0F"/>
    <w:rsid w:val="0025376B"/>
    <w:rsid w:val="00272070"/>
    <w:rsid w:val="0028477E"/>
    <w:rsid w:val="002B1D48"/>
    <w:rsid w:val="002B594C"/>
    <w:rsid w:val="002B6F81"/>
    <w:rsid w:val="002B7470"/>
    <w:rsid w:val="002D61C4"/>
    <w:rsid w:val="002F780C"/>
    <w:rsid w:val="0030715C"/>
    <w:rsid w:val="00311FE3"/>
    <w:rsid w:val="00341281"/>
    <w:rsid w:val="00346DB4"/>
    <w:rsid w:val="003613C6"/>
    <w:rsid w:val="003A6380"/>
    <w:rsid w:val="003B40AC"/>
    <w:rsid w:val="003B6B13"/>
    <w:rsid w:val="003D6401"/>
    <w:rsid w:val="003E4E81"/>
    <w:rsid w:val="003E5C5E"/>
    <w:rsid w:val="003F243B"/>
    <w:rsid w:val="003F6AAB"/>
    <w:rsid w:val="00413509"/>
    <w:rsid w:val="00416A03"/>
    <w:rsid w:val="00447C8D"/>
    <w:rsid w:val="0045279C"/>
    <w:rsid w:val="00493E40"/>
    <w:rsid w:val="004A7C86"/>
    <w:rsid w:val="004B2CB5"/>
    <w:rsid w:val="004D67B0"/>
    <w:rsid w:val="004E4EE0"/>
    <w:rsid w:val="005047A6"/>
    <w:rsid w:val="0051025A"/>
    <w:rsid w:val="00511B2E"/>
    <w:rsid w:val="005137BA"/>
    <w:rsid w:val="005144FD"/>
    <w:rsid w:val="00527A7D"/>
    <w:rsid w:val="00554DA8"/>
    <w:rsid w:val="005636C4"/>
    <w:rsid w:val="00570618"/>
    <w:rsid w:val="00571B13"/>
    <w:rsid w:val="00580E83"/>
    <w:rsid w:val="005B3EDB"/>
    <w:rsid w:val="005C17E5"/>
    <w:rsid w:val="005D2113"/>
    <w:rsid w:val="005F6456"/>
    <w:rsid w:val="0060657A"/>
    <w:rsid w:val="0061150E"/>
    <w:rsid w:val="00615D7B"/>
    <w:rsid w:val="00617A21"/>
    <w:rsid w:val="006351B4"/>
    <w:rsid w:val="0065182F"/>
    <w:rsid w:val="0067108E"/>
    <w:rsid w:val="00675402"/>
    <w:rsid w:val="00683ACD"/>
    <w:rsid w:val="006C6113"/>
    <w:rsid w:val="006D3657"/>
    <w:rsid w:val="006D3CF6"/>
    <w:rsid w:val="006D693F"/>
    <w:rsid w:val="00702537"/>
    <w:rsid w:val="007446D1"/>
    <w:rsid w:val="00744AB3"/>
    <w:rsid w:val="00746EA5"/>
    <w:rsid w:val="007517D2"/>
    <w:rsid w:val="0076102B"/>
    <w:rsid w:val="007A163E"/>
    <w:rsid w:val="007A5404"/>
    <w:rsid w:val="007A6287"/>
    <w:rsid w:val="007B29AC"/>
    <w:rsid w:val="007E37F1"/>
    <w:rsid w:val="007F4CC9"/>
    <w:rsid w:val="00807A64"/>
    <w:rsid w:val="008133FF"/>
    <w:rsid w:val="00824278"/>
    <w:rsid w:val="008258F0"/>
    <w:rsid w:val="008466FA"/>
    <w:rsid w:val="00852572"/>
    <w:rsid w:val="00854605"/>
    <w:rsid w:val="0086358C"/>
    <w:rsid w:val="008676F8"/>
    <w:rsid w:val="008810A1"/>
    <w:rsid w:val="00886D8B"/>
    <w:rsid w:val="00892331"/>
    <w:rsid w:val="00895505"/>
    <w:rsid w:val="008B15C3"/>
    <w:rsid w:val="008B42CC"/>
    <w:rsid w:val="008B7CF9"/>
    <w:rsid w:val="008D22C2"/>
    <w:rsid w:val="008E5ADD"/>
    <w:rsid w:val="008F4561"/>
    <w:rsid w:val="00927BC6"/>
    <w:rsid w:val="00931D5A"/>
    <w:rsid w:val="0094385A"/>
    <w:rsid w:val="009460C1"/>
    <w:rsid w:val="00961FE4"/>
    <w:rsid w:val="0097424E"/>
    <w:rsid w:val="00980D9D"/>
    <w:rsid w:val="00982B16"/>
    <w:rsid w:val="009B0C3E"/>
    <w:rsid w:val="009C1027"/>
    <w:rsid w:val="009E446A"/>
    <w:rsid w:val="009F1B04"/>
    <w:rsid w:val="009F212E"/>
    <w:rsid w:val="009F760C"/>
    <w:rsid w:val="00A07486"/>
    <w:rsid w:val="00A40B48"/>
    <w:rsid w:val="00A41644"/>
    <w:rsid w:val="00A477EA"/>
    <w:rsid w:val="00A56A30"/>
    <w:rsid w:val="00A62CFD"/>
    <w:rsid w:val="00A66BC5"/>
    <w:rsid w:val="00AB3EAA"/>
    <w:rsid w:val="00AB518A"/>
    <w:rsid w:val="00AD5B19"/>
    <w:rsid w:val="00AE238E"/>
    <w:rsid w:val="00B13606"/>
    <w:rsid w:val="00B143BF"/>
    <w:rsid w:val="00B202D1"/>
    <w:rsid w:val="00B27227"/>
    <w:rsid w:val="00B3205A"/>
    <w:rsid w:val="00B661A2"/>
    <w:rsid w:val="00BA65F1"/>
    <w:rsid w:val="00BD7CF1"/>
    <w:rsid w:val="00C17B70"/>
    <w:rsid w:val="00C20DFE"/>
    <w:rsid w:val="00C2407F"/>
    <w:rsid w:val="00C24BE7"/>
    <w:rsid w:val="00C40668"/>
    <w:rsid w:val="00C42C00"/>
    <w:rsid w:val="00C637EE"/>
    <w:rsid w:val="00C77DEA"/>
    <w:rsid w:val="00C818B3"/>
    <w:rsid w:val="00CA30DC"/>
    <w:rsid w:val="00CB16BF"/>
    <w:rsid w:val="00CC79F7"/>
    <w:rsid w:val="00CE2B16"/>
    <w:rsid w:val="00CE4FEB"/>
    <w:rsid w:val="00D00BAE"/>
    <w:rsid w:val="00D02786"/>
    <w:rsid w:val="00D04569"/>
    <w:rsid w:val="00D04B54"/>
    <w:rsid w:val="00D10255"/>
    <w:rsid w:val="00D10DCC"/>
    <w:rsid w:val="00D163D5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16F8"/>
    <w:rsid w:val="00E7377E"/>
    <w:rsid w:val="00E90675"/>
    <w:rsid w:val="00EB5376"/>
    <w:rsid w:val="00EB7C8A"/>
    <w:rsid w:val="00ED7EAF"/>
    <w:rsid w:val="00EF0FC5"/>
    <w:rsid w:val="00F16AAE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C37C4"/>
    <w:rsid w:val="00FC6908"/>
    <w:rsid w:val="00FD201F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E293-5DDA-413F-B109-3F5393A7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Nivia Del Orbe</cp:lastModifiedBy>
  <cp:revision>2</cp:revision>
  <cp:lastPrinted>2023-07-18T16:34:00Z</cp:lastPrinted>
  <dcterms:created xsi:type="dcterms:W3CDTF">2024-04-15T16:53:00Z</dcterms:created>
  <dcterms:modified xsi:type="dcterms:W3CDTF">2024-04-15T16:53:00Z</dcterms:modified>
</cp:coreProperties>
</file>